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03CD94" w14:textId="518612D0" w:rsidR="00C53450" w:rsidRPr="006E181B" w:rsidRDefault="00C53450" w:rsidP="00D80570">
      <w:pPr>
        <w:pStyle w:val="Nestldivision"/>
        <w:jc w:val="center"/>
        <w:rPr>
          <w:b/>
          <w:bCs/>
        </w:rPr>
      </w:pPr>
      <w:r w:rsidRPr="006E181B">
        <w:rPr>
          <w:b/>
          <w:bCs/>
        </w:rPr>
        <w:t>ANEXO 2</w:t>
      </w:r>
    </w:p>
    <w:p w14:paraId="32D3C4D4" w14:textId="24D9A7B7" w:rsidR="001A03E1" w:rsidRPr="006E181B" w:rsidRDefault="009D234C" w:rsidP="00D80570">
      <w:pPr>
        <w:pStyle w:val="Nestldivision"/>
        <w:jc w:val="center"/>
        <w:rPr>
          <w:b/>
          <w:bCs/>
        </w:rPr>
      </w:pPr>
      <w:r w:rsidRPr="006E181B">
        <w:rPr>
          <w:b/>
          <w:bCs/>
        </w:rPr>
        <w:t>Alto Contenido de Oxígeno como Condición Normal del Proceso</w:t>
      </w:r>
    </w:p>
    <w:p w14:paraId="46664F82" w14:textId="550FA85E" w:rsidR="00686667" w:rsidRPr="00460894" w:rsidRDefault="00686667" w:rsidP="0031611A">
      <w:pPr>
        <w:pStyle w:val="Nestldivision"/>
        <w:jc w:val="center"/>
        <w:rPr>
          <w:sz w:val="20"/>
          <w:szCs w:val="22"/>
        </w:rPr>
      </w:pPr>
      <w:r w:rsidRPr="00460894">
        <w:rPr>
          <w:sz w:val="20"/>
          <w:szCs w:val="22"/>
        </w:rPr>
        <w:t>Extracto A</w:t>
      </w:r>
      <w:bookmarkStart w:id="0" w:name="_GoBack"/>
      <w:bookmarkEnd w:id="0"/>
      <w:r w:rsidRPr="00460894">
        <w:rPr>
          <w:sz w:val="20"/>
          <w:szCs w:val="22"/>
        </w:rPr>
        <w:t xml:space="preserve">nexo </w:t>
      </w:r>
      <w:r w:rsidR="00C53450" w:rsidRPr="00460894">
        <w:rPr>
          <w:sz w:val="20"/>
          <w:szCs w:val="22"/>
        </w:rPr>
        <w:t>2</w:t>
      </w:r>
      <w:r w:rsidR="007834EE" w:rsidRPr="00460894">
        <w:rPr>
          <w:sz w:val="20"/>
          <w:szCs w:val="22"/>
        </w:rPr>
        <w:t xml:space="preserve"> </w:t>
      </w:r>
      <w:r w:rsidR="0031611A" w:rsidRPr="00460894">
        <w:rPr>
          <w:sz w:val="20"/>
          <w:szCs w:val="22"/>
        </w:rPr>
        <w:t xml:space="preserve">para fuentes </w:t>
      </w:r>
      <w:r w:rsidR="007834EE" w:rsidRPr="00460894">
        <w:rPr>
          <w:sz w:val="20"/>
          <w:szCs w:val="22"/>
        </w:rPr>
        <w:t>PR-482, PR-2431 y PR-2076</w:t>
      </w:r>
    </w:p>
    <w:p w14:paraId="77295D40" w14:textId="08EB6913" w:rsidR="00EA3B08" w:rsidRPr="006E181B" w:rsidRDefault="00EA3B08" w:rsidP="00D80570">
      <w:pPr>
        <w:pStyle w:val="Nestldivision"/>
        <w:jc w:val="center"/>
        <w:rPr>
          <w:b/>
          <w:bCs/>
        </w:rPr>
      </w:pPr>
    </w:p>
    <w:p w14:paraId="4A2AA517" w14:textId="610C3D1E" w:rsidR="00EA3B08" w:rsidRPr="006E181B" w:rsidRDefault="00EA3B08" w:rsidP="008E3E49">
      <w:pPr>
        <w:pStyle w:val="Nestldivision"/>
        <w:spacing w:line="360" w:lineRule="auto"/>
        <w:jc w:val="center"/>
        <w:rPr>
          <w:b/>
          <w:bCs/>
        </w:rPr>
      </w:pPr>
    </w:p>
    <w:p w14:paraId="1BE0DF8B" w14:textId="57B02328" w:rsidR="008E3E49" w:rsidRPr="006E181B" w:rsidRDefault="008E3E49" w:rsidP="004B3125">
      <w:pPr>
        <w:spacing w:line="360" w:lineRule="auto"/>
        <w:ind w:firstLine="708"/>
        <w:jc w:val="both"/>
      </w:pPr>
      <w:r w:rsidRPr="006E181B">
        <w:rPr>
          <w:rFonts w:eastAsia="Arial"/>
          <w:szCs w:val="20"/>
        </w:rPr>
        <w:t xml:space="preserve">Nestlé Chile S.A. Maipú que produce </w:t>
      </w:r>
      <w:r w:rsidRPr="006E181B">
        <w:t xml:space="preserve">galletas, cereales y chocolate </w:t>
      </w:r>
      <w:r w:rsidR="00663EBF" w:rsidRPr="006E181B">
        <w:t xml:space="preserve">y </w:t>
      </w:r>
      <w:r w:rsidRPr="006E181B">
        <w:rPr>
          <w:rFonts w:eastAsia="Arial"/>
          <w:szCs w:val="20"/>
        </w:rPr>
        <w:t>cuenta con 4 tipos de configuraciones de hornos industriales (convección indirecta, convección directa, radiación indirecta y conducción).</w:t>
      </w:r>
      <w:r w:rsidRPr="006E181B">
        <w:t xml:space="preserve"> </w:t>
      </w:r>
    </w:p>
    <w:p w14:paraId="55D71F0C" w14:textId="38CEEF32" w:rsidR="008E3E49" w:rsidRPr="006E181B" w:rsidRDefault="008E3E49" w:rsidP="004B3125">
      <w:pPr>
        <w:spacing w:line="360" w:lineRule="auto"/>
        <w:jc w:val="both"/>
      </w:pPr>
    </w:p>
    <w:p w14:paraId="75BB10DA" w14:textId="41BB5810" w:rsidR="008E3E49" w:rsidRPr="006E181B" w:rsidRDefault="008E3E49" w:rsidP="004B3125">
      <w:pPr>
        <w:spacing w:line="360" w:lineRule="auto"/>
        <w:ind w:firstLine="708"/>
        <w:jc w:val="both"/>
      </w:pPr>
      <w:r w:rsidRPr="006E181B">
        <w:t>Las fuentes PR</w:t>
      </w:r>
      <w:r w:rsidR="00E04E7F" w:rsidRPr="006E181B">
        <w:t xml:space="preserve">-482 y PR-2431 </w:t>
      </w:r>
      <w:r w:rsidR="00262D13" w:rsidRPr="006E181B">
        <w:t xml:space="preserve">cuentan con proceso de horneado por conducción, mientras que </w:t>
      </w:r>
      <w:r w:rsidR="00B6139C" w:rsidRPr="006E181B">
        <w:t xml:space="preserve">el </w:t>
      </w:r>
      <w:r w:rsidR="00262D13" w:rsidRPr="006E181B">
        <w:t xml:space="preserve">PR-2076 </w:t>
      </w:r>
      <w:r w:rsidR="00E4022D" w:rsidRPr="006E181B">
        <w:t xml:space="preserve">opera </w:t>
      </w:r>
      <w:r w:rsidR="002968BE" w:rsidRPr="006E181B">
        <w:t>por convección indirecta. Ambos procesos se detallan a continuación:</w:t>
      </w:r>
    </w:p>
    <w:p w14:paraId="306946C1" w14:textId="7DC91BDB" w:rsidR="002968BE" w:rsidRPr="006E181B" w:rsidRDefault="002968BE" w:rsidP="008E3E49">
      <w:pPr>
        <w:spacing w:line="360" w:lineRule="auto"/>
        <w:ind w:firstLine="708"/>
      </w:pPr>
    </w:p>
    <w:p w14:paraId="273E9779" w14:textId="386777A0" w:rsidR="007F7E56" w:rsidRPr="006E181B" w:rsidRDefault="007F7E56" w:rsidP="00B6139C">
      <w:pPr>
        <w:pStyle w:val="Nestldivision"/>
        <w:numPr>
          <w:ilvl w:val="0"/>
          <w:numId w:val="1"/>
        </w:numPr>
        <w:rPr>
          <w:b/>
          <w:bCs/>
        </w:rPr>
      </w:pPr>
      <w:r w:rsidRPr="006E181B">
        <w:rPr>
          <w:b/>
          <w:bCs/>
        </w:rPr>
        <w:t xml:space="preserve">Conducción </w:t>
      </w:r>
      <w:r w:rsidR="00024C6F" w:rsidRPr="006E181B">
        <w:rPr>
          <w:b/>
          <w:bCs/>
        </w:rPr>
        <w:t>(PR-482 y PR-2431)</w:t>
      </w:r>
    </w:p>
    <w:p w14:paraId="568EAA26" w14:textId="77777777" w:rsidR="00024C6F" w:rsidRPr="006E181B" w:rsidRDefault="00024C6F" w:rsidP="007F7E56">
      <w:pPr>
        <w:pStyle w:val="Nestldivision"/>
        <w:rPr>
          <w:b/>
          <w:bCs/>
        </w:rPr>
      </w:pPr>
    </w:p>
    <w:p w14:paraId="4EAF9209" w14:textId="77777777" w:rsidR="00024C6F" w:rsidRPr="006E181B" w:rsidRDefault="00024C6F" w:rsidP="004B3125">
      <w:pPr>
        <w:pStyle w:val="Nestldivision"/>
        <w:jc w:val="both"/>
        <w:rPr>
          <w:b/>
          <w:bCs/>
        </w:rPr>
      </w:pPr>
    </w:p>
    <w:p w14:paraId="75EF70D9" w14:textId="197AA0DD" w:rsidR="007F7E56" w:rsidRDefault="007F7E56" w:rsidP="004B3125">
      <w:pPr>
        <w:spacing w:line="360" w:lineRule="auto"/>
        <w:ind w:firstLine="708"/>
        <w:jc w:val="both"/>
      </w:pPr>
      <w:r w:rsidRPr="006E181B">
        <w:t xml:space="preserve">El quemador calienta directamente las prensas en la parte inferior y mediante conducción hornean las obleas (Ver </w:t>
      </w:r>
      <w:r w:rsidR="004B3125">
        <w:fldChar w:fldCharType="begin"/>
      </w:r>
      <w:r w:rsidR="004B3125">
        <w:instrText xml:space="preserve"> REF _Ref48905968 \h  \* MERGEFORMAT </w:instrText>
      </w:r>
      <w:r w:rsidR="004B3125">
        <w:fldChar w:fldCharType="separate"/>
      </w:r>
      <w:r w:rsidR="00DB1DB4">
        <w:t xml:space="preserve">Figura </w:t>
      </w:r>
      <w:r w:rsidR="00DB1DB4">
        <w:rPr>
          <w:noProof/>
        </w:rPr>
        <w:t>1</w:t>
      </w:r>
      <w:r w:rsidR="004B3125">
        <w:fldChar w:fldCharType="end"/>
      </w:r>
      <w:r w:rsidRPr="006E181B">
        <w:t>). Los gases de combustión suben por convección natural por el espacio de aire produciendo el aumento de la concentración de oxígeno dado que estos hornos son sistemas abiertos.</w:t>
      </w:r>
    </w:p>
    <w:p w14:paraId="469B647E" w14:textId="77777777" w:rsidR="006E181B" w:rsidRPr="006E181B" w:rsidRDefault="006E181B" w:rsidP="007F7E56">
      <w:pPr>
        <w:spacing w:line="360" w:lineRule="auto"/>
        <w:ind w:firstLine="708"/>
      </w:pPr>
    </w:p>
    <w:p w14:paraId="3A8DA1A9" w14:textId="77777777" w:rsidR="006E181B" w:rsidRDefault="006E181B" w:rsidP="007F7E56">
      <w:pPr>
        <w:spacing w:line="360" w:lineRule="auto"/>
        <w:ind w:firstLine="708"/>
      </w:pPr>
    </w:p>
    <w:p w14:paraId="5ECAD9D3" w14:textId="098F2B9D" w:rsidR="006E181B" w:rsidRDefault="006E181B" w:rsidP="006E181B">
      <w:pPr>
        <w:pStyle w:val="Descripcin"/>
        <w:keepNext/>
        <w:jc w:val="center"/>
      </w:pPr>
      <w:bookmarkStart w:id="1" w:name="_Ref48905968"/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DB1DB4">
        <w:rPr>
          <w:noProof/>
        </w:rPr>
        <w:t>1</w:t>
      </w:r>
      <w:r>
        <w:fldChar w:fldCharType="end"/>
      </w:r>
      <w:bookmarkEnd w:id="1"/>
      <w:r>
        <w:t>. Esquema de Horneo de Obleas por Conducción</w:t>
      </w:r>
    </w:p>
    <w:p w14:paraId="445AEF77" w14:textId="3CBB943F" w:rsidR="002968BE" w:rsidRDefault="006E181B" w:rsidP="006E181B">
      <w:pPr>
        <w:spacing w:line="360" w:lineRule="auto"/>
        <w:ind w:firstLine="708"/>
        <w:jc w:val="center"/>
      </w:pPr>
      <w:r>
        <w:rPr>
          <w:noProof/>
        </w:rPr>
        <w:drawing>
          <wp:inline distT="0" distB="0" distL="0" distR="0" wp14:anchorId="00F5AFDE" wp14:editId="2EC6E1DD">
            <wp:extent cx="4364185" cy="2440858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477" cy="2447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39FD18" w14:textId="0333133A" w:rsidR="002968BE" w:rsidRDefault="002968BE" w:rsidP="008D0EBF">
      <w:pPr>
        <w:spacing w:line="360" w:lineRule="auto"/>
        <w:ind w:firstLine="708"/>
        <w:jc w:val="center"/>
        <w:rPr>
          <w:rFonts w:eastAsia="Arial"/>
          <w:szCs w:val="20"/>
        </w:rPr>
      </w:pPr>
    </w:p>
    <w:p w14:paraId="2D9198F7" w14:textId="45A6193E" w:rsidR="00EA3B08" w:rsidRPr="008E3E49" w:rsidRDefault="00EA3B08" w:rsidP="00D80570">
      <w:pPr>
        <w:pStyle w:val="Nestldivision"/>
        <w:jc w:val="center"/>
        <w:rPr>
          <w:b/>
          <w:bCs/>
          <w:lang w:val="fr-CH"/>
        </w:rPr>
      </w:pPr>
    </w:p>
    <w:p w14:paraId="10232D61" w14:textId="77777777" w:rsidR="00EA3B08" w:rsidRPr="00D80570" w:rsidRDefault="00EA3B08" w:rsidP="00D80570">
      <w:pPr>
        <w:pStyle w:val="Nestldivision"/>
        <w:jc w:val="center"/>
        <w:rPr>
          <w:b/>
          <w:bCs/>
          <w:sz w:val="32"/>
          <w:szCs w:val="32"/>
        </w:rPr>
      </w:pPr>
    </w:p>
    <w:p w14:paraId="177EB7AB" w14:textId="512402A2" w:rsidR="00D80570" w:rsidRDefault="00DF66AF" w:rsidP="00DF66AF">
      <w:pPr>
        <w:pStyle w:val="Nestldivision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Convección Indirecta (PR-2076)</w:t>
      </w:r>
    </w:p>
    <w:p w14:paraId="6D85E5B4" w14:textId="44CA16F6" w:rsidR="00DF66AF" w:rsidRDefault="00DF66AF" w:rsidP="00DF66AF">
      <w:pPr>
        <w:pStyle w:val="Nestldivision"/>
        <w:rPr>
          <w:b/>
          <w:bCs/>
        </w:rPr>
      </w:pPr>
    </w:p>
    <w:p w14:paraId="17DFBCDA" w14:textId="77777777" w:rsidR="00DF66AF" w:rsidRPr="00DF66AF" w:rsidRDefault="00DF66AF" w:rsidP="00DF66AF">
      <w:pPr>
        <w:pStyle w:val="Nestldivision"/>
        <w:rPr>
          <w:b/>
          <w:bCs/>
        </w:rPr>
      </w:pPr>
    </w:p>
    <w:p w14:paraId="65246955" w14:textId="77777777" w:rsidR="00147626" w:rsidRDefault="00147626" w:rsidP="00147626">
      <w:pPr>
        <w:spacing w:line="360" w:lineRule="auto"/>
        <w:ind w:firstLine="360"/>
        <w:jc w:val="both"/>
      </w:pPr>
      <w:r>
        <w:t>En el horneo por convección indirecta, los gases producidos en la combustión ingresan a través de un intercambiador de calor de múltiples pasos con el objetivo de entregar calor en forma indirecta al aire fresco (contenido de oxígeno de 20,9%). Una vez que se transfiere calor al aire fresco, los gases de combustión son descargados por la chimenea a la atmósfera.</w:t>
      </w:r>
    </w:p>
    <w:p w14:paraId="40E9C3BC" w14:textId="77777777" w:rsidR="00147626" w:rsidRDefault="00147626" w:rsidP="00147626">
      <w:pPr>
        <w:spacing w:line="360" w:lineRule="auto"/>
        <w:jc w:val="both"/>
      </w:pPr>
    </w:p>
    <w:p w14:paraId="6306E5AD" w14:textId="7CF16E64" w:rsidR="00147626" w:rsidRDefault="00147626" w:rsidP="00147626">
      <w:pPr>
        <w:spacing w:line="360" w:lineRule="auto"/>
        <w:ind w:firstLine="360"/>
        <w:jc w:val="both"/>
      </w:pPr>
      <w:r>
        <w:t>El aire fresco</w:t>
      </w:r>
      <w:r w:rsidR="002F7183">
        <w:t>,</w:t>
      </w:r>
      <w:r>
        <w:t xml:space="preserve"> que es calentado en el intercambiador de calor</w:t>
      </w:r>
      <w:r w:rsidR="002F7183">
        <w:t>,</w:t>
      </w:r>
      <w:r>
        <w:t xml:space="preserve"> es el encargado de hornear los productos. Este aire que se encuentra entre 200°C y 300°C circula por el horno a través de los canales superior e inferior para hornear los productos por convección. Luego de hornear los productos, el aire ingresa por el ventilador de recirculación llevándolo a </w:t>
      </w:r>
      <w:r w:rsidR="00D42915">
        <w:t>dos</w:t>
      </w:r>
      <w:r>
        <w:t xml:space="preserve"> destinos; reingresa al intercambiador de calor y el resto </w:t>
      </w:r>
      <w:r w:rsidR="00AE03C5">
        <w:t xml:space="preserve">es </w:t>
      </w:r>
      <w:r>
        <w:t>descargado por la chimenea concéntrica respecto al ducto de descarga de los gases de combustión.</w:t>
      </w:r>
    </w:p>
    <w:p w14:paraId="1AA60AA5" w14:textId="77777777" w:rsidR="00147626" w:rsidRDefault="00147626" w:rsidP="00147626">
      <w:pPr>
        <w:spacing w:line="360" w:lineRule="auto"/>
        <w:jc w:val="both"/>
      </w:pPr>
    </w:p>
    <w:p w14:paraId="6EF32BE3" w14:textId="761C449A" w:rsidR="00147626" w:rsidRDefault="00147626" w:rsidP="00147626">
      <w:pPr>
        <w:spacing w:line="360" w:lineRule="auto"/>
        <w:ind w:firstLine="360"/>
        <w:jc w:val="both"/>
      </w:pPr>
      <w:r>
        <w:t>Posteriormente, dado el diseño de los hornos establecido por el fabricante (marca, modelo, año de fabricación, cámara de combustión, intercambiador de calor, circuito de gases de combustión y circuito aire fresco) las descargas del aire fresco calentado y gases de combustión se unen en un solo ducto de descarga, originando una mezcla indivisible con una concentración de oxígeno medida cercana a 19%</w:t>
      </w:r>
      <w:r w:rsidR="001878E7">
        <w:t>.</w:t>
      </w:r>
    </w:p>
    <w:p w14:paraId="01E79C67" w14:textId="77777777" w:rsidR="00147626" w:rsidRDefault="00147626" w:rsidP="00147626">
      <w:pPr>
        <w:spacing w:line="360" w:lineRule="auto"/>
        <w:jc w:val="both"/>
      </w:pPr>
    </w:p>
    <w:p w14:paraId="34504ED8" w14:textId="6F927FB3" w:rsidR="00D80570" w:rsidRDefault="00147626" w:rsidP="00147626">
      <w:pPr>
        <w:spacing w:line="360" w:lineRule="auto"/>
        <w:ind w:firstLine="360"/>
        <w:jc w:val="both"/>
      </w:pPr>
      <w:r>
        <w:t>El flujo de aire fresco requerido para este tipo de proceso es 10 veces mayor a los gases de combustión. Esto se traduce en que el mayor aporte a la concentración de oxígeno medida en el ducto se debe a la adición del aire fresco.</w:t>
      </w:r>
    </w:p>
    <w:p w14:paraId="6239D6FC" w14:textId="5FF95D2F" w:rsidR="00D163DD" w:rsidRDefault="00D163DD" w:rsidP="00147626">
      <w:pPr>
        <w:spacing w:line="360" w:lineRule="auto"/>
        <w:ind w:firstLine="360"/>
        <w:jc w:val="both"/>
      </w:pPr>
    </w:p>
    <w:p w14:paraId="728D5B1F" w14:textId="7E62B69D" w:rsidR="00DC1062" w:rsidRDefault="00DC1062" w:rsidP="00DC1062">
      <w:pPr>
        <w:pStyle w:val="Descripcin"/>
        <w:keepNext/>
        <w:jc w:val="center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DB1DB4">
        <w:rPr>
          <w:noProof/>
        </w:rPr>
        <w:t>2</w:t>
      </w:r>
      <w:r>
        <w:fldChar w:fldCharType="end"/>
      </w:r>
      <w:r>
        <w:t xml:space="preserve">. Esquema </w:t>
      </w:r>
      <w:r w:rsidR="00810CDD">
        <w:t>Horno de tipo</w:t>
      </w:r>
      <w:r>
        <w:t xml:space="preserve"> </w:t>
      </w:r>
      <w:r w:rsidR="004D1A41">
        <w:t>C</w:t>
      </w:r>
      <w:r>
        <w:t xml:space="preserve">onvección </w:t>
      </w:r>
      <w:r w:rsidR="004D1A41">
        <w:t>I</w:t>
      </w:r>
      <w:r>
        <w:t>ndirecta.</w:t>
      </w:r>
    </w:p>
    <w:p w14:paraId="7C78B388" w14:textId="26290BDC" w:rsidR="00D163DD" w:rsidRDefault="00DC1062" w:rsidP="00147626">
      <w:pPr>
        <w:spacing w:line="360" w:lineRule="auto"/>
        <w:ind w:firstLine="360"/>
        <w:jc w:val="both"/>
      </w:pPr>
      <w:r>
        <w:rPr>
          <w:noProof/>
        </w:rPr>
        <w:drawing>
          <wp:inline distT="0" distB="0" distL="0" distR="0" wp14:anchorId="373F95C2" wp14:editId="4EA43080">
            <wp:extent cx="5404620" cy="2220686"/>
            <wp:effectExtent l="0" t="0" r="0" b="825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841" cy="223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163DD" w:rsidSect="004B371B">
      <w:headerReference w:type="default" r:id="rId13"/>
      <w:footerReference w:type="default" r:id="rId14"/>
      <w:pgSz w:w="11900" w:h="16840"/>
      <w:pgMar w:top="1872" w:right="850" w:bottom="1411" w:left="1872" w:header="706" w:footer="5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AB2A2D" w14:textId="77777777" w:rsidR="008249F1" w:rsidRDefault="008249F1" w:rsidP="00A907D4">
      <w:pPr>
        <w:spacing w:line="240" w:lineRule="auto"/>
      </w:pPr>
      <w:r>
        <w:separator/>
      </w:r>
    </w:p>
  </w:endnote>
  <w:endnote w:type="continuationSeparator" w:id="0">
    <w:p w14:paraId="674165E7" w14:textId="77777777" w:rsidR="008249F1" w:rsidRDefault="008249F1" w:rsidP="00A907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Nestle Text TF Book">
    <w:panose1 w:val="00000500000000000000"/>
    <w:charset w:val="00"/>
    <w:family w:val="auto"/>
    <w:pitch w:val="variable"/>
    <w:sig w:usb0="A00006FF" w:usb1="4000205B" w:usb2="00000000" w:usb3="00000000" w:csb0="0000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DE95EF" w14:textId="700F9292" w:rsidR="00BE4B43" w:rsidRDefault="00662671" w:rsidP="00662671">
    <w:pPr>
      <w:pStyle w:val="Nestladdress"/>
      <w:tabs>
        <w:tab w:val="center" w:pos="4111"/>
      </w:tabs>
    </w:pPr>
    <w:r>
      <w:tab/>
      <w:t xml:space="preserve">Nestlé </w:t>
    </w:r>
    <w:r w:rsidR="00BE4B43">
      <w:t>Chile S.A.</w:t>
    </w:r>
    <w:r w:rsidR="00B34DA3">
      <w:t xml:space="preserve"> Fábrica Maipú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424AB3" w14:textId="77777777" w:rsidR="008249F1" w:rsidRDefault="008249F1" w:rsidP="00A907D4">
      <w:pPr>
        <w:spacing w:line="240" w:lineRule="auto"/>
      </w:pPr>
      <w:r>
        <w:separator/>
      </w:r>
    </w:p>
  </w:footnote>
  <w:footnote w:type="continuationSeparator" w:id="0">
    <w:p w14:paraId="167CAD90" w14:textId="77777777" w:rsidR="008249F1" w:rsidRDefault="008249F1" w:rsidP="00A907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1F5009" w14:textId="77777777" w:rsidR="00A907D4" w:rsidRDefault="00A907D4">
    <w:pPr>
      <w:pStyle w:val="Encabezado"/>
    </w:pPr>
    <w:r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429659DB" wp14:editId="1D020E90">
          <wp:simplePos x="0" y="0"/>
          <wp:positionH relativeFrom="column">
            <wp:posOffset>-1073150</wp:posOffset>
          </wp:positionH>
          <wp:positionV relativeFrom="paragraph">
            <wp:posOffset>-332740</wp:posOffset>
          </wp:positionV>
          <wp:extent cx="3132000" cy="1040474"/>
          <wp:effectExtent l="0" t="0" r="0" b="0"/>
          <wp:wrapNone/>
          <wp:docPr id="1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ESTLElogo-without-wordmark-signature-oa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2000" cy="10404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031A48"/>
    <w:multiLevelType w:val="hybridMultilevel"/>
    <w:tmpl w:val="24842F7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1461"/>
    <w:rsid w:val="00024C6F"/>
    <w:rsid w:val="00067DE4"/>
    <w:rsid w:val="000C23D5"/>
    <w:rsid w:val="0010323B"/>
    <w:rsid w:val="0013743C"/>
    <w:rsid w:val="00147626"/>
    <w:rsid w:val="00156215"/>
    <w:rsid w:val="001878E7"/>
    <w:rsid w:val="001A03E1"/>
    <w:rsid w:val="00262D13"/>
    <w:rsid w:val="002968BE"/>
    <w:rsid w:val="002B3C51"/>
    <w:rsid w:val="002F7183"/>
    <w:rsid w:val="0031611A"/>
    <w:rsid w:val="00354AFA"/>
    <w:rsid w:val="00362E6C"/>
    <w:rsid w:val="003869E3"/>
    <w:rsid w:val="00390449"/>
    <w:rsid w:val="00437762"/>
    <w:rsid w:val="00460894"/>
    <w:rsid w:val="004629EF"/>
    <w:rsid w:val="00462C54"/>
    <w:rsid w:val="004671B7"/>
    <w:rsid w:val="004B3125"/>
    <w:rsid w:val="004B371B"/>
    <w:rsid w:val="004B48DD"/>
    <w:rsid w:val="004D1A41"/>
    <w:rsid w:val="004E152B"/>
    <w:rsid w:val="004F01E4"/>
    <w:rsid w:val="00575C65"/>
    <w:rsid w:val="00604BA7"/>
    <w:rsid w:val="00624D37"/>
    <w:rsid w:val="00630EE3"/>
    <w:rsid w:val="006350E5"/>
    <w:rsid w:val="00641E69"/>
    <w:rsid w:val="00653121"/>
    <w:rsid w:val="00662671"/>
    <w:rsid w:val="00663DEB"/>
    <w:rsid w:val="00663EBF"/>
    <w:rsid w:val="00686667"/>
    <w:rsid w:val="006A39F4"/>
    <w:rsid w:val="006E181B"/>
    <w:rsid w:val="006F002C"/>
    <w:rsid w:val="007834EE"/>
    <w:rsid w:val="007B1BF1"/>
    <w:rsid w:val="007F7E56"/>
    <w:rsid w:val="00806A68"/>
    <w:rsid w:val="00810CDD"/>
    <w:rsid w:val="008249F1"/>
    <w:rsid w:val="008507C2"/>
    <w:rsid w:val="00890CE8"/>
    <w:rsid w:val="008A3DBB"/>
    <w:rsid w:val="008C5889"/>
    <w:rsid w:val="008D0EBF"/>
    <w:rsid w:val="008E3E49"/>
    <w:rsid w:val="008E70A9"/>
    <w:rsid w:val="00912534"/>
    <w:rsid w:val="009D234C"/>
    <w:rsid w:val="009E0714"/>
    <w:rsid w:val="00A441D2"/>
    <w:rsid w:val="00A774F9"/>
    <w:rsid w:val="00A77718"/>
    <w:rsid w:val="00A907D4"/>
    <w:rsid w:val="00AB4D6B"/>
    <w:rsid w:val="00AE03C5"/>
    <w:rsid w:val="00B00B45"/>
    <w:rsid w:val="00B34DA3"/>
    <w:rsid w:val="00B6139C"/>
    <w:rsid w:val="00BE4B43"/>
    <w:rsid w:val="00C01461"/>
    <w:rsid w:val="00C307E3"/>
    <w:rsid w:val="00C53450"/>
    <w:rsid w:val="00C567FF"/>
    <w:rsid w:val="00CB4588"/>
    <w:rsid w:val="00D163DD"/>
    <w:rsid w:val="00D24EB4"/>
    <w:rsid w:val="00D2752D"/>
    <w:rsid w:val="00D36F4C"/>
    <w:rsid w:val="00D42915"/>
    <w:rsid w:val="00D80570"/>
    <w:rsid w:val="00DB1DB4"/>
    <w:rsid w:val="00DC1062"/>
    <w:rsid w:val="00DF66AF"/>
    <w:rsid w:val="00E04E7F"/>
    <w:rsid w:val="00E278CF"/>
    <w:rsid w:val="00E37A2C"/>
    <w:rsid w:val="00E4022D"/>
    <w:rsid w:val="00E46225"/>
    <w:rsid w:val="00EA3B08"/>
    <w:rsid w:val="00EB28F0"/>
    <w:rsid w:val="00EC6E72"/>
    <w:rsid w:val="00EE158A"/>
    <w:rsid w:val="00EF48F0"/>
    <w:rsid w:val="00FA4109"/>
    <w:rsid w:val="00FA45A7"/>
    <w:rsid w:val="00FE6F44"/>
    <w:rsid w:val="2B4D25A1"/>
    <w:rsid w:val="354F53D7"/>
    <w:rsid w:val="3922294F"/>
    <w:rsid w:val="3BF325F7"/>
    <w:rsid w:val="4B84CAF2"/>
    <w:rsid w:val="5179739D"/>
    <w:rsid w:val="582C958E"/>
    <w:rsid w:val="769A6F63"/>
    <w:rsid w:val="77BEE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2F56248"/>
  <w15:chartTrackingRefBased/>
  <w15:docId w15:val="{813E5CD8-0B7E-4267-9131-85E0AA76A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3743C"/>
    <w:pPr>
      <w:spacing w:line="280" w:lineRule="exact"/>
    </w:pPr>
    <w:rPr>
      <w:rFonts w:ascii="Nestle Text TF Book" w:hAnsi="Nestle Text TF Book"/>
      <w:sz w:val="22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624D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A907D4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907D4"/>
  </w:style>
  <w:style w:type="paragraph" w:styleId="Piedepgina">
    <w:name w:val="footer"/>
    <w:basedOn w:val="Normal"/>
    <w:link w:val="PiedepginaCar"/>
    <w:uiPriority w:val="99"/>
    <w:unhideWhenUsed/>
    <w:rsid w:val="00A907D4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907D4"/>
  </w:style>
  <w:style w:type="paragraph" w:customStyle="1" w:styleId="Paragraphestandard">
    <w:name w:val="[Paragraphe standard]"/>
    <w:basedOn w:val="Normal"/>
    <w:uiPriority w:val="99"/>
    <w:rsid w:val="00A907D4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fr-FR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04BA7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04BA7"/>
    <w:rPr>
      <w:rFonts w:ascii="Times New Roman" w:hAnsi="Times New Roman" w:cs="Times New Roman"/>
      <w:sz w:val="18"/>
      <w:szCs w:val="18"/>
    </w:rPr>
  </w:style>
  <w:style w:type="paragraph" w:customStyle="1" w:styleId="Nestldivision">
    <w:name w:val="Nestlé division"/>
    <w:basedOn w:val="Normal"/>
    <w:qFormat/>
    <w:rsid w:val="0013743C"/>
    <w:rPr>
      <w:color w:val="64513D"/>
    </w:rPr>
  </w:style>
  <w:style w:type="paragraph" w:customStyle="1" w:styleId="Nestladdress">
    <w:name w:val="Nestlé address"/>
    <w:basedOn w:val="Normal"/>
    <w:qFormat/>
    <w:rsid w:val="0013743C"/>
    <w:pPr>
      <w:spacing w:line="240" w:lineRule="exact"/>
    </w:pPr>
    <w:rPr>
      <w:color w:val="64513D"/>
      <w:sz w:val="18"/>
      <w:szCs w:val="18"/>
    </w:rPr>
  </w:style>
  <w:style w:type="paragraph" w:styleId="NormalWeb">
    <w:name w:val="Normal (Web)"/>
    <w:basedOn w:val="Normal"/>
    <w:uiPriority w:val="99"/>
    <w:unhideWhenUsed/>
    <w:rsid w:val="00C014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en-US"/>
    </w:rPr>
  </w:style>
  <w:style w:type="character" w:styleId="Hipervnculo">
    <w:name w:val="Hyperlink"/>
    <w:basedOn w:val="Fuentedeprrafopredeter"/>
    <w:uiPriority w:val="99"/>
    <w:unhideWhenUsed/>
    <w:rsid w:val="00462C54"/>
    <w:rPr>
      <w:color w:val="0563C1" w:themeColor="hyperlink"/>
      <w:u w:val="single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E181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Prrafodelista">
    <w:name w:val="List Paragraph"/>
    <w:basedOn w:val="Normal"/>
    <w:uiPriority w:val="34"/>
    <w:qFormat/>
    <w:rsid w:val="00DF66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LGalazJa\NESTLE\Comunicaciones%20Internas%20Nestle%20Chile%20-%20Toolkit%20Nueva%20identidad%20visual%20de%20Nestl&#233;%20-%20Documentos\06.-%20Plantillas%20Word\documento%20word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912B606DA639D43AF8E7D9CE50EDF26" ma:contentTypeVersion="9" ma:contentTypeDescription="Crear nuevo documento." ma:contentTypeScope="" ma:versionID="22183b6b4fb28307f402a926a563b6bd">
  <xsd:schema xmlns:xsd="http://www.w3.org/2001/XMLSchema" xmlns:xs="http://www.w3.org/2001/XMLSchema" xmlns:p="http://schemas.microsoft.com/office/2006/metadata/properties" xmlns:ns2="0ce430e7-8fd1-444e-ad4c-a14a9ee96b27" xmlns:ns3="560bfc6d-fd9a-4a8c-a7b8-ce289bdd512f" targetNamespace="http://schemas.microsoft.com/office/2006/metadata/properties" ma:root="true" ma:fieldsID="81f67d13c19722d735f3922171140d07" ns2:_="" ns3:_="">
    <xsd:import namespace="0ce430e7-8fd1-444e-ad4c-a14a9ee96b27"/>
    <xsd:import namespace="560bfc6d-fd9a-4a8c-a7b8-ce289bdd51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e430e7-8fd1-444e-ad4c-a14a9ee96b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0bfc6d-fd9a-4a8c-a7b8-ce289bdd512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52EE27-7450-40A4-9F0A-1A6C48EC9EB0}">
  <ds:schemaRefs>
    <ds:schemaRef ds:uri="http://purl.org/dc/dcmitype/"/>
    <ds:schemaRef ds:uri="http://schemas.microsoft.com/office/2006/documentManagement/types"/>
    <ds:schemaRef ds:uri="0ce430e7-8fd1-444e-ad4c-a14a9ee96b27"/>
    <ds:schemaRef ds:uri="http://www.w3.org/XML/1998/namespace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560bfc6d-fd9a-4a8c-a7b8-ce289bdd512f"/>
    <ds:schemaRef ds:uri="http://schemas.microsoft.com/office/infopath/2007/PartnerControl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17E2EDEE-837D-42F7-A2AD-D7E3BBCC89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ce430e7-8fd1-444e-ad4c-a14a9ee96b27"/>
    <ds:schemaRef ds:uri="560bfc6d-fd9a-4a8c-a7b8-ce289bdd51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A533956-5FE8-4F41-8BAA-52A9C1215B3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7AC816F-A9B4-45D3-B6FC-3565A93C8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documento word</Template>
  <TotalTime>72</TotalTime>
  <Pages>3</Pages>
  <Words>400</Words>
  <Characters>2206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Galaz,Javiera,SANTIAGO,Corporate Communication</dc:creator>
  <cp:keywords/>
  <dc:description/>
  <cp:lastModifiedBy>Faundez,Pamela,FB MAIPU,S&amp;H</cp:lastModifiedBy>
  <cp:revision>61</cp:revision>
  <cp:lastPrinted>2020-08-21T17:58:00Z</cp:lastPrinted>
  <dcterms:created xsi:type="dcterms:W3CDTF">2020-07-09T17:28:00Z</dcterms:created>
  <dcterms:modified xsi:type="dcterms:W3CDTF">2020-08-21T17:58:00Z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0x0101003912B606DA639D43AF8E7D9CE50EDF26</vt:lpwstr>
  </property>
  <property fmtid="{D5CDD505-2E9C-101B-9397-08002B2CF9AE}" pid="3" name="_dlc_DocIdItemGuid">
    <vt:lpwstr>528e2821-3ed4-4fee-956d-9c9f743cbad5</vt:lpwstr>
  </property>
  <property fmtid="{D5CDD505-2E9C-101B-9397-08002B2CF9AE}" pid="4" name="MSIP_Label_1ada0a2f-b917-4d51-b0d0-d418a10c8b23_Enabled">
    <vt:lpwstr>True</vt:lpwstr>
  </property>
  <property fmtid="{D5CDD505-2E9C-101B-9397-08002B2CF9AE}" pid="5" name="MSIP_Label_1ada0a2f-b917-4d51-b0d0-d418a10c8b23_SiteId">
    <vt:lpwstr>12a3af23-a769-4654-847f-958f3d479f4a</vt:lpwstr>
  </property>
  <property fmtid="{D5CDD505-2E9C-101B-9397-08002B2CF9AE}" pid="6" name="MSIP_Label_1ada0a2f-b917-4d51-b0d0-d418a10c8b23_Owner">
    <vt:lpwstr>Javiera.Galaz@cl.nestle.com</vt:lpwstr>
  </property>
  <property fmtid="{D5CDD505-2E9C-101B-9397-08002B2CF9AE}" pid="7" name="MSIP_Label_1ada0a2f-b917-4d51-b0d0-d418a10c8b23_SetDate">
    <vt:lpwstr>2020-07-09T16:20:39.2005532Z</vt:lpwstr>
  </property>
  <property fmtid="{D5CDD505-2E9C-101B-9397-08002B2CF9AE}" pid="8" name="MSIP_Label_1ada0a2f-b917-4d51-b0d0-d418a10c8b23_Name">
    <vt:lpwstr>General Use</vt:lpwstr>
  </property>
  <property fmtid="{D5CDD505-2E9C-101B-9397-08002B2CF9AE}" pid="9" name="MSIP_Label_1ada0a2f-b917-4d51-b0d0-d418a10c8b23_Application">
    <vt:lpwstr>Microsoft Azure Information Protection</vt:lpwstr>
  </property>
  <property fmtid="{D5CDD505-2E9C-101B-9397-08002B2CF9AE}" pid="10" name="MSIP_Label_1ada0a2f-b917-4d51-b0d0-d418a10c8b23_ActionId">
    <vt:lpwstr>b3ae03ef-69e6-4dee-8dbe-c36c5c7c9be9</vt:lpwstr>
  </property>
  <property fmtid="{D5CDD505-2E9C-101B-9397-08002B2CF9AE}" pid="11" name="MSIP_Label_1ada0a2f-b917-4d51-b0d0-d418a10c8b23_Extended_MSFT_Method">
    <vt:lpwstr>Automatic</vt:lpwstr>
  </property>
  <property fmtid="{D5CDD505-2E9C-101B-9397-08002B2CF9AE}" pid="12" name="Sensitivity">
    <vt:lpwstr>General Use</vt:lpwstr>
  </property>
</Properties>
</file>